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26-268</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900, 901, 904 and 905</w:t>
      </w:r>
    </w:p>
    <w:p>
      <w:pPr>
        <w:spacing w:before="0" w:after="0" w:line="480"/>
        <w:ind w:left="120"/>
        <w:jc w:val="center"/>
      </w:pPr>
      <w:r>
        <w:rPr>
          <w:rFonts w:ascii="Times New Roman" w:hAnsi="Times New Roman"/>
          <w:b w:val="false"/>
          <w:i w:val="false"/>
          <w:color w:val="000000"/>
          <w:sz w:val="24"/>
        </w:rPr>
        <w:t>“Practice and Licensure of Funeral Directors, Funeral Establishments, and Cremation Establishments; Disciplinary Proceedings; and Enforcement Proceedings Against Nonlicensees”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147, 156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17A, 147, 156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069"/>
        <w:gridCol w:w="6195"/>
      </w:tblGrid>
      <w:tr>
        <w:trPr>
          <w:trHeight w:val="645" w:hRule="atLeast"/>
        </w:trPr>
        <w:tc>
          <w:tcPr>
            <w:tcW w:w="50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10 a.m.</w:t>
            </w:r>
          </w:p>
        </w:tc>
        <w:tc>
          <w:tcPr>
            <w:tcW w:w="619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Information on virtual participation will be available on the Department of Inspections, Appeals, and Licensing’s website prior to the hearing.</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Michele Christiansen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michele.christiansen@dia.iowa.gov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Chapters 900, 901, 904, and 905 set minimum standards for licensure, practice and discipline as a funeral director, crematory operator, funeral establishment or cremation establishment in Iowa, as well as standards for registration as a removal technician. The purpose of this proposed rulemaking is to add guidelines for a crematory operator, which is a new licensing type created in 2026 Iowa Acts, Senate File 563. All references to Iowa Code chapter 156 are to that chapter as amended by Senate File 563.</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Licensees bear the costs of application fees, including initial and renewal fees, as well as costs related to educational requirements and examination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and licensees benefit from this rulemaking because the rules provide standards of practice for licensees to ensure the public is receiving quality services. The public and licensees also benefit from these amendments because they maximize the safety of the public by now regulating the crematory operator.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Educational institutions provide the academic training for funeral directors to obtain their licenses in the State of Iowa. Additional private industries and educational institutions provide examinations and materials for preparation for examinations. Because the cost of education varies depending on the institution the person attends, the Board of Mortuary Science is unable to put an exact cost on the cost of education or examination preparation.</w:t>
      </w:r>
    </w:p>
    <w:p>
      <w:pPr>
        <w:spacing w:before="0" w:after="0" w:line="480"/>
        <w:ind w:left="120"/>
        <w:jc w:val="both"/>
      </w:pPr>
      <w:r>
        <w:rPr>
          <w:rFonts w:ascii="Times New Roman" w:hAnsi="Times New Roman"/>
          <w:b w:val="false"/>
          <w:i w:val="false"/>
          <w:color w:val="000000"/>
          <w:sz w:val="24"/>
        </w:rPr>
        <w:t>Licensing fees for a funeral director are $120 for an initial license and $120 for each biannual renewal period. Licensing fees for a funeral or cremation establishment are $90 for an initial license and $90 for each triennial renewal period. Licensing fees for a crematory operator will be $50 for an initial license and $50 for each triennial renewal period.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Establishing minimum requirements for licensure ensures safety for the licensee and consumer. The cost of inaction would be increasing the potential for injury to the public by a licensee who is not qualified to perform the work in the field.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managing applications for initial licenses, renewals, and reinstatements. Staff salaries to support the work of the Board are covered by the Licensing and Regulation Fund.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Costs associated with implementing this rulemaking are paid by the State to develop a new license type in the database. This license type will generate revenue through licensing costs paid by the licensee. Crematory operators who are not already funeral directors will now need to become licensed and will pay licensing fees to the State.</w:t>
      </w:r>
    </w:p>
    <w:p>
      <w:pPr>
        <w:spacing w:before="0" w:after="0" w:line="480"/>
        <w:ind w:left="120"/>
        <w:jc w:val="both"/>
      </w:pPr>
      <w:r>
        <w:rPr>
          <w:rFonts w:ascii="Times New Roman" w:hAnsi="Times New Roman"/>
          <w:b w:val="false"/>
          <w:i w:val="false"/>
          <w:color w:val="000000"/>
          <w:sz w:val="24"/>
        </w:rPr>
        <w:t>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Establishing minimum licensing requirements ensures that practitioners are competent to practice. Almost every person, at some point, will purchase or consume a funeral-related product or service. Without having an established threshold for entry into the profession, individuals who are not appropriately trained could have adverse effects on consumers who are making expensive decisions in stressful circumstances. The Board believes the cost to license this profession are justified by the benefits achieved because licensing the profession ensures that Iowa consumers are protected.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On a national level, there is a wide variety of alternatives to licensure. The State of Colorado previously only registered the establishment, as opposed to the individual, and had several instances of bad behavior by individuals. Arkansas does not require funeral directors to obtain college credits as long as they complete an apprenticeship and pass the national examination. The Board believes that licensure of funeral directors, crematory operators and establishments is required to ensure that a minimum competency of care is provided to Iowans. Licensure requirements could be reduced or eliminated for the purpose of lowering the bar of entry into the profession; however, the Board would be concerned about the public safety of Iowans in that scenario.</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believes that all current requirements ensure public safety and ensure that a minimum competency of care is provided to Iowans. The crematory operator license is an additional license type that will help ensure public safety.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believes that all current requirements ensure public safety and ensure that a minimum competency of care is provided to Iowans. The crematory operator license is an additional license type that will help ensure public safety.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relates to high-stakes public safety concerns that are present whether the business is a small business or a large organization. The rulemaking is meant to ensure public safety in terms of licensing requirements for funeral directors and establishments. While some funeral directors may be operating a funeral or cremation establishment of their own, others will be working for a firm that owns multiple establishments. To exempt a small business from adhering to this rulemaking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“Crematory operator”</w:t>
      </w:r>
      <w:r>
        <w:rPr>
          <w:rFonts w:ascii="Times New Roman" w:hAnsi="Times New Roman"/>
          <w:b w:val="false"/>
          <w:i w:val="false"/>
          <w:color w:val="000000"/>
          <w:sz w:val="24"/>
        </w:rPr>
        <w:t xml:space="preserve"> in rule </w:t>
      </w:r>
      <w:r>
        <w:rPr>
          <w:rFonts w:ascii="Times New Roman" w:hAnsi="Times New Roman"/>
          <w:b/>
          <w:i w:val="false"/>
          <w:color w:val="000000"/>
          <w:sz w:val="24"/>
        </w:rPr>
        <w:t>481—900.1(156)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“Crematory operator”</w:t>
      </w:r>
      <w:r>
        <w:rPr>
          <w:rFonts w:ascii="Times New Roman" w:hAnsi="Times New Roman"/>
          <w:b w:val="false"/>
          <w:i/>
          <w:color w:val="000000"/>
          <w:sz w:val="24"/>
          <w:u w:val="single"/>
        </w:rPr>
        <w:t> </w:t>
      </w:r>
      <w:r>
        <w:rPr>
          <w:rFonts w:ascii="Times New Roman" w:hAnsi="Times New Roman"/>
          <w:b w:val="false"/>
          <w:i w:val="false"/>
          <w:color w:val="000000"/>
          <w:sz w:val="24"/>
        </w:rPr>
        <w:t>means a person licensed by the board to operate a cremation establishment and crematory equipment.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900.10(1)“b”(1)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cremation establishment will furnish to any person who receives the cremated remains from the cremation establishment a receiving receipt containing: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name of the cremation establishment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licensed crematory</w:t>
      </w:r>
      <w:r>
        <w:rPr>
          <w:rFonts w:ascii="Times New Roman" w:hAnsi="Times New Roman"/>
          <w:b w:val="false"/>
          <w:i w:val="false"/>
          <w:color w:val="000000"/>
          <w:sz w:val="24"/>
        </w:rPr>
        <w:t xml:space="preserve"> operator and the date and time of the cremation.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481—901.1(156)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“Licensee,”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any person licensed to practice as a funeral director in the state of 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individual licensed pursuant to Iowa Code section </w:t>
      </w:r>
      <w:hyperlink r:id="rId5">
        <w:r>
          <w:rPr>
            <w:rStyle w:val="Hyperlink"/>
            <w:rFonts w:ascii="Times New Roman" w:hAnsi="Times New Roman"/>
            <w:b w:val="false"/>
            <w:i w:val="false"/>
            <w:color w:val="000000"/>
            <w:sz w:val="24"/>
            <w:u w:val="single"/>
          </w:rPr>
          <w:t>156.4</w:t>
        </w:r>
      </w:hyperlink>
      <w:r>
        <w:rPr>
          <w:rFonts w:ascii="Times New Roman" w:hAnsi="Times New Roman"/>
          <w:b w:val="false"/>
          <w:i w:val="false"/>
          <w:color w:val="000000"/>
          <w:sz w:val="24"/>
          <w:u w:val="single"/>
        </w:rPr>
        <w:t xml:space="preserve"> to practice in Iowa as a crematory operator or funeral director; a person registered as a removal technician; or a person issued an establishment license pursuant to Iowa Code section </w:t>
      </w:r>
      <w:hyperlink r:id="rId6">
        <w:r>
          <w:rPr>
            <w:rStyle w:val="Hyperlink"/>
            <w:rFonts w:ascii="Times New Roman" w:hAnsi="Times New Roman"/>
            <w:b w:val="false"/>
            <w:i w:val="false"/>
            <w:color w:val="000000"/>
            <w:sz w:val="24"/>
            <w:u w:val="single"/>
          </w:rPr>
          <w:t>156.14</w:t>
        </w:r>
      </w:hyperlink>
      <w:r>
        <w:rPr>
          <w:rFonts w:ascii="Times New Roman" w:hAnsi="Times New Roman"/>
          <w:b w:val="false"/>
          <w:i w:val="false"/>
          <w:color w:val="000000"/>
          <w:sz w:val="24"/>
          <w:u w:val="single"/>
        </w:rPr>
        <w:t xml:space="preserve"> to establish, conduct, or maintain a funeral establishment or cremation establishment in Iowa</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481—901.14</w:t>
      </w:r>
      <w:r>
        <w:rPr>
          <w:rFonts w:ascii="Times New Roman" w:hAnsi="Times New Roman"/>
          <w:b w:val="false"/>
          <w:i w:val="false"/>
          <w:color w:val="000000"/>
          <w:sz w:val="24"/>
        </w:rPr>
        <w:t>(156):</w:t>
      </w:r>
    </w:p>
    <w:p>
      <w:pPr>
        <w:spacing w:before="0" w:after="0" w:line="480"/>
        <w:ind w:left="120"/>
        <w:jc w:val="both"/>
      </w:pPr>
      <w:r>
        <w:rPr>
          <w:rFonts w:ascii="Times New Roman" w:hAnsi="Times New Roman"/>
          <w:b/>
          <w:i w:val="false"/>
          <w:color w:val="000000"/>
          <w:sz w:val="24"/>
        </w:rPr>
        <w:t>481—901.14</w:t>
      </w:r>
      <w:r>
        <w:rPr>
          <w:rFonts w:ascii="Times New Roman" w:hAnsi="Times New Roman"/>
          <w:b/>
          <w:i w:val="false"/>
          <w:color w:val="000000"/>
          <w:sz w:val="24"/>
        </w:rPr>
        <w:t xml:space="preserve">(156) </w:t>
      </w:r>
      <w:r>
        <w:rPr>
          <w:rFonts w:ascii="Times New Roman" w:hAnsi="Times New Roman"/>
          <w:b/>
          <w:i w:val="false"/>
          <w:color w:val="000000"/>
          <w:sz w:val="24"/>
        </w:rPr>
        <w:t xml:space="preserve">Crematory operators—training and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901.14(1)</w:t>
      </w:r>
      <w:r>
        <w:rPr>
          <w:rFonts w:ascii="Times New Roman" w:hAnsi="Times New Roman"/>
          <w:b w:val="false"/>
          <w:i w:val="false"/>
          <w:color w:val="000000"/>
          <w:sz w:val="24"/>
        </w:rPr>
        <w:t> </w:t>
      </w:r>
      <w:r>
        <w:rPr>
          <w:rFonts w:ascii="Times New Roman" w:hAnsi="Times New Roman"/>
          <w:b w:val="false"/>
          <w:i w:val="false"/>
          <w:color w:val="000000"/>
          <w:sz w:val="24"/>
        </w:rPr>
        <w:t>A crematory operator is a person licensed by the board to operate a cremation establishment and crematory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901.14(2)</w:t>
      </w:r>
      <w:r>
        <w:rPr>
          <w:rFonts w:ascii="Times New Roman" w:hAnsi="Times New Roman"/>
          <w:b w:val="false"/>
          <w:i w:val="false"/>
          <w:color w:val="000000"/>
          <w:sz w:val="24"/>
        </w:rPr>
        <w:t> </w:t>
      </w:r>
      <w:r>
        <w:rPr>
          <w:rFonts w:ascii="Times New Roman" w:hAnsi="Times New Roman"/>
          <w:b w:val="false"/>
          <w:i w:val="false"/>
          <w:color w:val="000000"/>
          <w:sz w:val="24"/>
        </w:rPr>
        <w:t>A crematory operator will complete a specialized course in cremation, approved by the board, from a nationally recognized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901.14(3)</w:t>
      </w:r>
      <w:r>
        <w:rPr>
          <w:rFonts w:ascii="Times New Roman" w:hAnsi="Times New Roman"/>
          <w:b w:val="false"/>
          <w:i w:val="false"/>
          <w:color w:val="000000"/>
          <w:sz w:val="24"/>
        </w:rPr>
        <w:t> </w:t>
      </w:r>
      <w:r>
        <w:rPr>
          <w:rFonts w:ascii="Times New Roman" w:hAnsi="Times New Roman"/>
          <w:b w:val="false"/>
          <w:i w:val="false"/>
          <w:color w:val="000000"/>
          <w:sz w:val="24"/>
        </w:rPr>
        <w:t xml:space="preserve">It is the responsibility of the crematory operator to maintain successful documentation of completion of the education and training program described in subrule </w:t>
      </w:r>
      <w:hyperlink r:id="rId7">
        <w:r>
          <w:rPr>
            <w:rStyle w:val="Hyperlink"/>
            <w:rFonts w:ascii="Times New Roman" w:hAnsi="Times New Roman"/>
            <w:b w:val="false"/>
            <w:i w:val="false"/>
            <w:color w:val="000000"/>
            <w:sz w:val="24"/>
          </w:rPr>
          <w:t>901.14(2)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901.14(4)</w:t>
      </w:r>
      <w:r>
        <w:rPr>
          <w:rFonts w:ascii="Times New Roman" w:hAnsi="Times New Roman"/>
          <w:b w:val="false"/>
          <w:i w:val="false"/>
          <w:color w:val="000000"/>
          <w:sz w:val="24"/>
        </w:rPr>
        <w:t> </w:t>
      </w:r>
      <w:r>
        <w:rPr>
          <w:rFonts w:ascii="Times New Roman" w:hAnsi="Times New Roman"/>
          <w:b w:val="false"/>
          <w:i w:val="false"/>
          <w:color w:val="000000"/>
          <w:sz w:val="24"/>
        </w:rPr>
        <w:t>A crematory operator seeking licensure will complete an application on forms provided by the board and remit a fee in the amount of $50 to the board. The application will include the applicant’s full name, date of birth, and home address; the license number of each funeral director or crematory operator employed by the establishment at the time of application; and the name and address of the funeral establishment or cremation establishment primarily employing the crematory operator. A license is effective for three years and may be renewed within 60 days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901.14(5)</w:t>
      </w:r>
      <w:r>
        <w:rPr>
          <w:rFonts w:ascii="Times New Roman" w:hAnsi="Times New Roman"/>
          <w:b w:val="false"/>
          <w:i w:val="false"/>
          <w:color w:val="000000"/>
          <w:sz w:val="24"/>
        </w:rPr>
        <w:t> </w:t>
      </w:r>
      <w:r>
        <w:rPr>
          <w:rFonts w:ascii="Times New Roman" w:hAnsi="Times New Roman"/>
          <w:b w:val="false"/>
          <w:i w:val="false"/>
          <w:color w:val="000000"/>
          <w:sz w:val="24"/>
        </w:rPr>
        <w:t>The board will issue a crematory operator license to a funeral director who submits an application.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481—904.3(17A,147,156,272C)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481—904.3</w:t>
      </w:r>
      <w:r>
        <w:rPr>
          <w:rFonts w:ascii="Times New Roman" w:hAnsi="Times New Roman"/>
          <w:b/>
          <w:i w:val="false"/>
          <w:color w:val="000000"/>
          <w:sz w:val="24"/>
        </w:rPr>
        <w:t xml:space="preserve">(17A,147,156,272C) </w:t>
      </w:r>
      <w:r>
        <w:rPr>
          <w:rFonts w:ascii="Times New Roman" w:hAnsi="Times New Roman"/>
          <w:b/>
          <w:i w:val="false"/>
          <w:color w:val="000000"/>
          <w:sz w:val="24"/>
        </w:rPr>
        <w:t xml:space="preserve">Grounds for discipline against </w:t>
      </w:r>
      <w:r>
        <w:rPr>
          <w:rFonts w:ascii="Times New Roman" w:hAnsi="Times New Roman"/>
          <w:b/>
          <w:i w:val="false"/>
          <w:strike/>
          <w:color w:val="000000"/>
          <w:sz w:val="24"/>
        </w:rPr>
        <w:t>funeral directors</w:t>
      </w:r>
      <w:r>
        <w:rPr>
          <w:rFonts w:ascii="Times New Roman" w:hAnsi="Times New Roman"/>
          <w:b/>
          <w:i w:val="false"/>
          <w:color w:val="000000"/>
          <w:sz w:val="24"/>
          <w:u w:val="single"/>
        </w:rPr>
        <w:t> </w:t>
      </w:r>
      <w:r>
        <w:rPr>
          <w:rFonts w:ascii="Times New Roman" w:hAnsi="Times New Roman"/>
          <w:b/>
          <w:i w:val="false"/>
          <w:color w:val="000000"/>
          <w:sz w:val="24"/>
          <w:u w:val="single"/>
        </w:rPr>
        <w:t>board of mortuary science-regulated persons</w:t>
      </w:r>
      <w:r>
        <w:rPr>
          <w:rFonts w:ascii="Times New Roman" w:hAnsi="Times New Roman"/>
          <w:b/>
          <w:i w:val="false"/>
          <w:color w:val="000000"/>
          <w:sz w:val="24"/>
        </w:rPr>
        <w:t xml:space="preserve">. </w:t>
      </w:r>
      <w:r>
        <w:rPr>
          <w:rFonts w:ascii="Times New Roman" w:hAnsi="Times New Roman"/>
          <w:b w:val="false"/>
          <w:i w:val="false"/>
          <w:color w:val="000000"/>
          <w:sz w:val="24"/>
        </w:rPr>
        <w:t>The board may initiate disciplinary action against a licensed funeral director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crematory operator or a registered removal technician</w:t>
      </w:r>
      <w:r>
        <w:rPr>
          <w:rFonts w:ascii="Times New Roman" w:hAnsi="Times New Roman"/>
          <w:b w:val="false"/>
          <w:i w:val="false"/>
          <w:color w:val="000000"/>
          <w:sz w:val="24"/>
        </w:rPr>
        <w:t xml:space="preserve"> based on Iowa Code section </w:t>
      </w:r>
      <w:hyperlink r:id="rId8">
        <w:r>
          <w:rPr>
            <w:rStyle w:val="Hyperlink"/>
            <w:rFonts w:ascii="Times New Roman" w:hAnsi="Times New Roman"/>
            <w:b w:val="false"/>
            <w:i w:val="false"/>
            <w:color w:val="000000"/>
            <w:sz w:val="24"/>
          </w:rPr>
          <w:t>156.9</w:t>
        </w:r>
      </w:hyperlink>
      <w:r>
        <w:rPr>
          <w:rFonts w:ascii="Times New Roman" w:hAnsi="Times New Roman"/>
          <w:b w:val="false"/>
          <w:i w:val="false"/>
          <w:color w:val="000000"/>
          <w:sz w:val="24"/>
        </w:rPr>
        <w:t xml:space="preserve"> and any of the following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904.3(1)</w:t>
      </w:r>
      <w:r>
        <w:rPr>
          <w:rFonts w:ascii="Times New Roman" w:hAnsi="Times New Roman"/>
          <w:b w:val="false"/>
          <w:i w:val="false"/>
          <w:color w:val="000000"/>
          <w:sz w:val="24"/>
        </w:rPr>
        <w:t xml:space="preserve"> to </w:t>
      </w:r>
      <w:r>
        <w:rPr>
          <w:rFonts w:ascii="Times New Roman" w:hAnsi="Times New Roman"/>
          <w:b/>
          <w:i w:val="false"/>
          <w:color w:val="000000"/>
          <w:sz w:val="24"/>
        </w:rPr>
        <w:t>904.3(4)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904.3(5)</w:t>
      </w:r>
      <w:r>
        <w:rPr>
          <w:rFonts w:ascii="Times New Roman" w:hAnsi="Times New Roman"/>
          <w:b w:val="false"/>
          <w:i w:val="false"/>
          <w:color w:val="000000"/>
          <w:sz w:val="24"/>
        </w:rPr>
        <w:t> </w:t>
      </w:r>
      <w:r>
        <w:rPr>
          <w:rFonts w:ascii="Times New Roman" w:hAnsi="Times New Roman"/>
          <w:b w:val="false"/>
          <w:i w:val="false"/>
          <w:color w:val="000000"/>
          <w:sz w:val="24"/>
        </w:rPr>
        <w:t>Unlicensed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Knowingly aiding, assisting, procuring, advising, or allowing a person to unlawfully practice mortuary science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unlawfully operate a crematory establishment or crematory equipment</w:t>
      </w:r>
      <w:r>
        <w:rPr>
          <w:rFonts w:ascii="Times New Roman" w:hAnsi="Times New Roman"/>
          <w:b w:val="false"/>
          <w:i w:val="false"/>
          <w:color w:val="000000"/>
          <w:sz w:val="24"/>
        </w:rPr>
        <w:t xml:space="preserve">, or aiding or abetting a licensee, license applicant or unlicensed person in committing any act or omission </w:t>
      </w:r>
      <w:r>
        <w:rPr>
          <w:rFonts w:ascii="Times New Roman" w:hAnsi="Times New Roman"/>
          <w:b w:val="false"/>
          <w:i w:val="false"/>
          <w:strike/>
          <w:color w:val="000000"/>
          <w:sz w:val="24"/>
        </w:rPr>
        <w:t>which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that</w:t>
      </w:r>
      <w:r>
        <w:rPr>
          <w:rFonts w:ascii="Times New Roman" w:hAnsi="Times New Roman"/>
          <w:b w:val="false"/>
          <w:i w:val="false"/>
          <w:color w:val="000000"/>
          <w:sz w:val="24"/>
        </w:rPr>
        <w:t xml:space="preserve"> is grounds for discipline under this rule or is an unlawful act by a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under Iowa Code section </w:t>
      </w:r>
      <w:hyperlink r:id="rId9">
        <w:r>
          <w:rPr>
            <w:rStyle w:val="Hyperlink"/>
            <w:rFonts w:ascii="Times New Roman" w:hAnsi="Times New Roman"/>
            <w:b w:val="false"/>
            <w:i w:val="false"/>
            <w:color w:val="000000"/>
            <w:sz w:val="24"/>
          </w:rPr>
          <w:t>156.16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904.3(6)</w:t>
      </w:r>
      <w:r>
        <w:rPr>
          <w:rFonts w:ascii="Times New Roman" w:hAnsi="Times New Roman"/>
          <w:b w:val="false"/>
          <w:i w:val="false"/>
          <w:color w:val="000000"/>
          <w:sz w:val="24"/>
        </w:rPr>
        <w:t xml:space="preserve"> and </w:t>
      </w:r>
      <w:r>
        <w:rPr>
          <w:rFonts w:ascii="Times New Roman" w:hAnsi="Times New Roman"/>
          <w:b/>
          <w:i w:val="false"/>
          <w:color w:val="000000"/>
          <w:sz w:val="24"/>
        </w:rPr>
        <w:t>904.3(7)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904.3(8)</w:t>
      </w:r>
      <w:r>
        <w:rPr>
          <w:rFonts w:ascii="Times New Roman" w:hAnsi="Times New Roman"/>
          <w:b w:val="false"/>
          <w:i w:val="false"/>
          <w:color w:val="000000"/>
          <w:sz w:val="24"/>
        </w:rPr>
        <w:t> </w:t>
      </w:r>
      <w:r>
        <w:rPr>
          <w:rFonts w:ascii="Times New Roman" w:hAnsi="Times New Roman"/>
          <w:b w:val="false"/>
          <w:i w:val="false"/>
          <w:color w:val="000000"/>
          <w:sz w:val="24"/>
        </w:rPr>
        <w:t>Professional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Engaging in any conduct that subverts or attempts to subvert a board investigation, or failure to fully cooperate with a licensee disciplinary investigation or investigation against a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including failure to comply with a subpoena issued by the board or to respond to a board inquiry within 30 calendar days of the date of mailing by certified mail of a written communication directed to the licensee’s last address on file at the board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904.3(9)</w:t>
      </w:r>
      <w:r>
        <w:rPr>
          <w:rFonts w:ascii="Times New Roman" w:hAnsi="Times New Roman"/>
          <w:b w:val="false"/>
          <w:i w:val="false"/>
          <w:color w:val="000000"/>
          <w:sz w:val="24"/>
        </w:rPr>
        <w:t xml:space="preserve"> to </w:t>
      </w:r>
      <w:r>
        <w:rPr>
          <w:rFonts w:ascii="Times New Roman" w:hAnsi="Times New Roman"/>
          <w:b/>
          <w:i w:val="false"/>
          <w:color w:val="000000"/>
          <w:sz w:val="24"/>
        </w:rPr>
        <w:t>904.3(14)</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904.4(3)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904.4(3)</w:t>
      </w:r>
      <w:r>
        <w:rPr>
          <w:rFonts w:ascii="Times New Roman" w:hAnsi="Times New Roman"/>
          <w:b w:val="false"/>
          <w:i w:val="false"/>
          <w:color w:val="000000"/>
          <w:sz w:val="24"/>
        </w:rPr>
        <w:t> </w:t>
      </w:r>
      <w:r>
        <w:rPr>
          <w:rFonts w:ascii="Times New Roman" w:hAnsi="Times New Roman"/>
          <w:b w:val="false"/>
          <w:i w:val="false"/>
          <w:color w:val="000000"/>
          <w:sz w:val="24"/>
        </w:rPr>
        <w:t>The licensee or applicant knowingly aided, assisted, procured, or allowed a person to unlawfully practice mortuary science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unlawfully operate a crematory establishment or crematory equipment</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481—904.6(17A,147,156,272C)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481—904.6</w:t>
      </w:r>
      <w:r>
        <w:rPr>
          <w:rFonts w:ascii="Times New Roman" w:hAnsi="Times New Roman"/>
          <w:b/>
          <w:i w:val="false"/>
          <w:color w:val="000000"/>
          <w:sz w:val="24"/>
        </w:rPr>
        <w:t xml:space="preserve">(17A,147,156,272C) </w:t>
      </w:r>
      <w:r>
        <w:rPr>
          <w:rFonts w:ascii="Times New Roman" w:hAnsi="Times New Roman"/>
          <w:b/>
          <w:i w:val="false"/>
          <w:color w:val="000000"/>
          <w:sz w:val="24"/>
        </w:rPr>
        <w:t xml:space="preserve">Board discretion in imposing disciplinary sanctions. </w:t>
      </w:r>
      <w:r>
        <w:rPr>
          <w:rFonts w:ascii="Times New Roman" w:hAnsi="Times New Roman"/>
          <w:b w:val="false"/>
          <w:i w:val="false"/>
          <w:color w:val="000000"/>
          <w:sz w:val="24"/>
        </w:rPr>
        <w:t>Factors the board will consider when determining the nature and severity of the disciplinary sanction to be imposed, including whether to assess and the amount of civil penalties, include: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 to 11. No change.</w:t>
      </w:r>
    </w:p>
    <w:p>
      <w:pPr>
        <w:spacing w:before="0" w:after="0" w:line="480"/>
        <w:ind w:left="120"/>
        <w:jc w:val="both"/>
      </w:pPr>
      <w:r>
        <w:rPr>
          <w:rFonts w:ascii="Times New Roman" w:hAnsi="Times New Roman"/>
          <w:b w:val="false"/>
          <w:i w:val="false"/>
          <w:color w:val="000000"/>
          <w:sz w:val="24"/>
        </w:rPr>
        <w:t>    12.   </w:t>
      </w:r>
      <w:r>
        <w:rPr>
          <w:rFonts w:ascii="Times New Roman" w:hAnsi="Times New Roman"/>
          <w:b w:val="false"/>
          <w:i w:val="false"/>
          <w:color w:val="000000"/>
          <w:sz w:val="24"/>
        </w:rPr>
        <w:t>Whether the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acted in bad faith.</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 xml:space="preserve"> to 17.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481—905.2(156)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481—905.2</w:t>
      </w:r>
      <w:r>
        <w:rPr>
          <w:rFonts w:ascii="Times New Roman" w:hAnsi="Times New Roman"/>
          <w:b/>
          <w:i w:val="false"/>
          <w:color w:val="000000"/>
          <w:sz w:val="24"/>
        </w:rPr>
        <w:t xml:space="preserve">(156) </w:t>
      </w:r>
      <w:r>
        <w:rPr>
          <w:rFonts w:ascii="Times New Roman" w:hAnsi="Times New Roman"/>
          <w:b/>
          <w:i w:val="false"/>
          <w:color w:val="000000"/>
          <w:sz w:val="24"/>
        </w:rPr>
        <w:t xml:space="preserve">Unlawful practices. </w:t>
      </w:r>
      <w:r>
        <w:rPr>
          <w:rFonts w:ascii="Times New Roman" w:hAnsi="Times New Roman"/>
          <w:b w:val="false"/>
          <w:i w:val="false"/>
          <w:color w:val="000000"/>
          <w:sz w:val="24"/>
        </w:rPr>
        <w:t>Practices by unlicensed persons or establishments that are subject to civil penalties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Acts or practices by unlicensed persons that require licensure as a funeral director under Iowa Code chapter </w:t>
      </w:r>
      <w:hyperlink r:id="rId10">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Acts or practices by unlicensed establishments that require licensure as a funeral establishment or cremation establishment under Iowa Code chapter </w:t>
      </w:r>
      <w:hyperlink r:id="rId11">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Acts or practices by unlicensed persons that require licensure as a crematory operator under Iowa Code chapter </w:t>
      </w:r>
      <w:hyperlink r:id="rId12">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Acts or practices by unregistered persons that require registration as a removal technician under Iowa Code chapter </w:t>
      </w:r>
      <w:hyperlink r:id="rId13">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Use of the words “funeral director,” “mortician,” “crematory operator, “removal technician,” or other title in a manner that states or implies that the person is engaged in the practice of mortuary science as defined in Iowa Code chapter </w:t>
      </w:r>
      <w:hyperlink r:id="rId14">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Use or attempted use of a licensee’s certificate or an expired, suspended, revoked, or nonexistent certificate.</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Falsely impersonating a licensed funeral director or crematory operator or a registered removal technician.</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Providing false or forged evidence of any kind to the board in obtaining or attempting to obtain a license or registration.</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 xml:space="preserve">Other violations of Iowa Code chapter </w:t>
      </w:r>
      <w:hyperlink r:id="rId15">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Knowingly aiding or abetting an unlicensed or unregistered person or establishment in any activity identified in this rule.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481—905.3(156)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481—905.3</w:t>
      </w:r>
      <w:r>
        <w:rPr>
          <w:rFonts w:ascii="Times New Roman" w:hAnsi="Times New Roman"/>
          <w:b/>
          <w:i w:val="false"/>
          <w:color w:val="000000"/>
          <w:sz w:val="24"/>
        </w:rPr>
        <w:t xml:space="preserve">(156) </w:t>
      </w:r>
      <w:r>
        <w:rPr>
          <w:rFonts w:ascii="Times New Roman" w:hAnsi="Times New Roman"/>
          <w:b/>
          <w:i w:val="false"/>
          <w:color w:val="000000"/>
          <w:sz w:val="24"/>
        </w:rPr>
        <w:t xml:space="preserve">Investigations. </w:t>
      </w:r>
      <w:r>
        <w:rPr>
          <w:rFonts w:ascii="Times New Roman" w:hAnsi="Times New Roman"/>
          <w:b w:val="false"/>
          <w:i w:val="false"/>
          <w:color w:val="000000"/>
          <w:sz w:val="24"/>
        </w:rPr>
        <w:t xml:space="preserve">The board is authorized by Iowa Code sections </w:t>
      </w:r>
      <w:hyperlink r:id="rId16">
        <w:r>
          <w:rPr>
            <w:rStyle w:val="Hyperlink"/>
            <w:rFonts w:ascii="Times New Roman" w:hAnsi="Times New Roman"/>
            <w:b w:val="false"/>
            <w:i w:val="false"/>
            <w:color w:val="000000"/>
            <w:sz w:val="24"/>
          </w:rPr>
          <w:t>17A.13(1)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156.16</w:t>
        </w:r>
      </w:hyperlink>
      <w:r>
        <w:rPr>
          <w:rFonts w:ascii="Times New Roman" w:hAnsi="Times New Roman"/>
          <w:b w:val="false"/>
          <w:i w:val="false"/>
          <w:color w:val="000000"/>
          <w:sz w:val="24"/>
        </w:rPr>
        <w:t xml:space="preserve"> to conduct such investigations as are needed to determine whether grounds exist to impose civil penalties against a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Such investigations will conform to the procedures outlined in this chapter. Complaint and investigatory files concerning nonlicensees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nonregistrants</w:t>
      </w:r>
      <w:r>
        <w:rPr>
          <w:rFonts w:ascii="Times New Roman" w:hAnsi="Times New Roman"/>
          <w:b w:val="false"/>
          <w:i w:val="false"/>
          <w:color w:val="000000"/>
          <w:sz w:val="24"/>
        </w:rPr>
        <w:t xml:space="preserve"> are not confidential except as may be provided in Iowa Code chapter </w:t>
      </w:r>
      <w:hyperlink r:id="rId1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481—905.4(156)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481—905.4</w:t>
      </w:r>
      <w:r>
        <w:rPr>
          <w:rFonts w:ascii="Times New Roman" w:hAnsi="Times New Roman"/>
          <w:b/>
          <w:i w:val="false"/>
          <w:color w:val="000000"/>
          <w:sz w:val="24"/>
        </w:rPr>
        <w:t xml:space="preserve">(156) </w:t>
      </w:r>
      <w:r>
        <w:rPr>
          <w:rFonts w:ascii="Times New Roman" w:hAnsi="Times New Roman"/>
          <w:b/>
          <w:i w:val="false"/>
          <w:color w:val="000000"/>
          <w:sz w:val="24"/>
        </w:rPr>
        <w:t xml:space="preserve">Subpoenas. </w:t>
      </w:r>
      <w:r>
        <w:rPr>
          <w:rFonts w:ascii="Times New Roman" w:hAnsi="Times New Roman"/>
          <w:b w:val="false"/>
          <w:i w:val="false"/>
          <w:color w:val="000000"/>
          <w:sz w:val="24"/>
        </w:rPr>
        <w:t xml:space="preserve">Pursuant to Iowa Code sections </w:t>
      </w:r>
      <w:hyperlink r:id="rId19">
        <w:r>
          <w:rPr>
            <w:rStyle w:val="Hyperlink"/>
            <w:rFonts w:ascii="Times New Roman" w:hAnsi="Times New Roman"/>
            <w:b w:val="false"/>
            <w:i w:val="false"/>
            <w:color w:val="000000"/>
            <w:sz w:val="24"/>
          </w:rPr>
          <w:t>17A.13(1)</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156.16</w:t>
        </w:r>
      </w:hyperlink>
      <w:r>
        <w:rPr>
          <w:rFonts w:ascii="Times New Roman" w:hAnsi="Times New Roman"/>
          <w:b w:val="false"/>
          <w:i w:val="false"/>
          <w:color w:val="000000"/>
          <w:sz w:val="24"/>
        </w:rPr>
        <w:t>, the board is authorized in connection with an investigation of an unlicensed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unregistered</w:t>
      </w:r>
      <w:r>
        <w:rPr>
          <w:rFonts w:ascii="Times New Roman" w:hAnsi="Times New Roman"/>
          <w:b w:val="false"/>
          <w:i w:val="false"/>
          <w:color w:val="000000"/>
          <w:sz w:val="24"/>
        </w:rPr>
        <w:t xml:space="preserve"> person or establishment to issue subpoenas to compel persons to testify and to compel persons to produce books, papers, records and any other real evidence, whether or not privileged or confidential under law, that the board deems necessary as evidence in connection with the civil penalty proceeding or relevant to the decision of whether to initiate a civil penalty proceeding. Board procedures concerning investigative subpoenas are set forth in rule </w:t>
      </w:r>
      <w:hyperlink r:id="rId21">
        <w:r>
          <w:rPr>
            <w:rStyle w:val="Hyperlink"/>
            <w:rFonts w:ascii="Times New Roman" w:hAnsi="Times New Roman"/>
            <w:b w:val="false"/>
            <w:i w:val="false"/>
            <w:color w:val="000000"/>
            <w:sz w:val="24"/>
          </w:rPr>
          <w:t>481—503.5</w:t>
        </w:r>
      </w:hyperlink>
      <w:r>
        <w:rPr>
          <w:rFonts w:ascii="Times New Roman" w:hAnsi="Times New Roman"/>
          <w:b w:val="false"/>
          <w:i w:val="false"/>
          <w:color w:val="000000"/>
          <w:sz w:val="24"/>
        </w:rPr>
        <w:t>(17A,272C).</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481—905.5(156)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481—905.5</w:t>
      </w:r>
      <w:r>
        <w:rPr>
          <w:rFonts w:ascii="Times New Roman" w:hAnsi="Times New Roman"/>
          <w:b/>
          <w:i w:val="false"/>
          <w:color w:val="000000"/>
          <w:sz w:val="24"/>
        </w:rPr>
        <w:t xml:space="preserve">(156) </w:t>
      </w:r>
      <w:r>
        <w:rPr>
          <w:rFonts w:ascii="Times New Roman" w:hAnsi="Times New Roman"/>
          <w:b/>
          <w:i w:val="false"/>
          <w:color w:val="000000"/>
          <w:sz w:val="24"/>
        </w:rPr>
        <w:t xml:space="preserve">Notice of intent to impose civil penalties. </w:t>
      </w:r>
      <w:r>
        <w:rPr>
          <w:rFonts w:ascii="Times New Roman" w:hAnsi="Times New Roman"/>
          <w:b w:val="false"/>
          <w:i w:val="false"/>
          <w:color w:val="000000"/>
          <w:sz w:val="24"/>
        </w:rPr>
        <w:t xml:space="preserve">The notice of the board’s intent to issue an order to require compliance with Iowa Code chapter </w:t>
      </w:r>
      <w:hyperlink r:id="rId22">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 xml:space="preserve"> and to impose a civil penalty will be served upon the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by restricted certified mail, return receipt requested, or personal service in accordance with Iowa R. Civ.</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24"/>
        </w:rPr>
        <w:t>P. 1.305. Alternatively, the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may accept service personally or through authorized counsel. The notice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 to 4. No change.</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Notice of the nonlicensee’s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nonregistrant’s</w:t>
      </w:r>
      <w:r>
        <w:rPr>
          <w:rFonts w:ascii="Times New Roman" w:hAnsi="Times New Roman"/>
          <w:b w:val="false"/>
          <w:i w:val="false"/>
          <w:color w:val="000000"/>
          <w:sz w:val="24"/>
        </w:rPr>
        <w:t xml:space="preserve"> right to a hearing and the time frame in which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hearing must be requested.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address to which written request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hearing must be made.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481—905.6(156)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481—905.6</w:t>
      </w:r>
      <w:r>
        <w:rPr>
          <w:rFonts w:ascii="Times New Roman" w:hAnsi="Times New Roman"/>
          <w:b/>
          <w:i w:val="false"/>
          <w:color w:val="000000"/>
          <w:sz w:val="24"/>
        </w:rPr>
        <w:t xml:space="preserve">(156) </w:t>
      </w:r>
      <w:r>
        <w:rPr>
          <w:rFonts w:ascii="Times New Roman" w:hAnsi="Times New Roman"/>
          <w:b/>
          <w:i w:val="false"/>
          <w:color w:val="000000"/>
          <w:sz w:val="24"/>
        </w:rPr>
        <w:t xml:space="preserve">Requests for 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905.6(1)</w:t>
      </w:r>
      <w:r>
        <w:rPr>
          <w:rFonts w:ascii="Times New Roman" w:hAnsi="Times New Roman"/>
          <w:b w:val="false"/>
          <w:i w:val="false"/>
          <w:color w:val="000000"/>
          <w:sz w:val="24"/>
        </w:rPr>
        <w:t> </w:t>
      </w:r>
      <w:r>
        <w:rPr>
          <w:rFonts w:ascii="Times New Roman" w:hAnsi="Times New Roman"/>
          <w:b w:val="false"/>
          <w:i w:val="false"/>
          <w:color w:val="000000"/>
          <w:sz w:val="24"/>
        </w:rPr>
        <w:t>Nonlicensees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nonregistrants</w:t>
      </w:r>
      <w:r>
        <w:rPr>
          <w:rFonts w:ascii="Times New Roman" w:hAnsi="Times New Roman"/>
          <w:b w:val="false"/>
          <w:i w:val="false"/>
          <w:color w:val="000000"/>
          <w:sz w:val="24"/>
        </w:rPr>
        <w:t xml:space="preserve"> must request a hearing within 30 days of the date the notice is received if served through restricted certified mail, or within 30 days of the date of service if service is accepted or made in accordance with Iowa R. Civ.</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24"/>
        </w:rPr>
        <w:t>P. 1.305. A request for hearing must be in writing and is deemed made on the date of the nonmetered United States Postal Service postmark or the date of personal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905.6(2)</w:t>
      </w:r>
      <w:r>
        <w:rPr>
          <w:rFonts w:ascii="Times New Roman" w:hAnsi="Times New Roman"/>
          <w:b w:val="false"/>
          <w:i w:val="false"/>
          <w:color w:val="000000"/>
          <w:sz w:val="24"/>
        </w:rPr>
        <w:t xml:space="preserve"> and </w:t>
      </w:r>
      <w:r>
        <w:rPr>
          <w:rFonts w:ascii="Times New Roman" w:hAnsi="Times New Roman"/>
          <w:b/>
          <w:i w:val="false"/>
          <w:color w:val="000000"/>
          <w:sz w:val="24"/>
        </w:rPr>
        <w:t>905.6(3)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905.6(4)</w:t>
      </w:r>
      <w:r>
        <w:rPr>
          <w:rFonts w:ascii="Times New Roman" w:hAnsi="Times New Roman"/>
          <w:b w:val="false"/>
          <w:i w:val="false"/>
          <w:color w:val="000000"/>
          <w:sz w:val="24"/>
        </w:rPr>
        <w:t> </w:t>
      </w:r>
      <w:r>
        <w:rPr>
          <w:rFonts w:ascii="Times New Roman" w:hAnsi="Times New Roman"/>
          <w:b w:val="false"/>
          <w:i w:val="false"/>
          <w:color w:val="000000"/>
          <w:sz w:val="24"/>
        </w:rPr>
        <w:t>A nonlicensed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nonregistered</w:t>
      </w:r>
      <w:r>
        <w:rPr>
          <w:rFonts w:ascii="Times New Roman" w:hAnsi="Times New Roman"/>
          <w:b w:val="false"/>
          <w:i w:val="false"/>
          <w:color w:val="000000"/>
          <w:sz w:val="24"/>
        </w:rPr>
        <w:t xml:space="preserve"> person who fails to timely request a contested case hearing will have failed to exhaust “adequate administrative remedies” as that term is used in Iowa Code section </w:t>
      </w:r>
      <w:hyperlink r:id="rId23">
        <w:r>
          <w:rPr>
            <w:rStyle w:val="Hyperlink"/>
            <w:rFonts w:ascii="Times New Roman" w:hAnsi="Times New Roman"/>
            <w:b w:val="false"/>
            <w:i w:val="false"/>
            <w:color w:val="000000"/>
            <w:sz w:val="24"/>
          </w:rPr>
          <w:t>17A.19(1)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905.6(5)</w:t>
      </w:r>
      <w:r>
        <w:rPr>
          <w:rFonts w:ascii="Times New Roman" w:hAnsi="Times New Roman"/>
          <w:b w:val="false"/>
          <w:i w:val="false"/>
          <w:color w:val="000000"/>
          <w:sz w:val="24"/>
        </w:rPr>
        <w:t> </w:t>
      </w:r>
      <w:r>
        <w:rPr>
          <w:rFonts w:ascii="Times New Roman" w:hAnsi="Times New Roman"/>
          <w:b w:val="false"/>
          <w:i w:val="false"/>
          <w:color w:val="000000"/>
          <w:sz w:val="24"/>
        </w:rPr>
        <w:t>A nonlicensed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nonregistered</w:t>
      </w:r>
      <w:r>
        <w:rPr>
          <w:rFonts w:ascii="Times New Roman" w:hAnsi="Times New Roman"/>
          <w:b w:val="false"/>
          <w:i w:val="false"/>
          <w:color w:val="000000"/>
          <w:sz w:val="24"/>
        </w:rPr>
        <w:t xml:space="preserve"> person who is aggrieved or adversely affected by the board’s final decision following a contested case hearing may seek judicial review as provided in Iowa Code section </w:t>
      </w:r>
      <w:hyperlink r:id="rId24">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905.6(6)</w:t>
      </w:r>
      <w:r>
        <w:rPr>
          <w:rFonts w:ascii="Times New Roman" w:hAnsi="Times New Roman"/>
          <w:b w:val="false"/>
          <w:i w:val="false"/>
          <w:color w:val="000000"/>
          <w:sz w:val="24"/>
        </w:rPr>
        <w:t> </w:t>
      </w:r>
      <w:r>
        <w:rPr>
          <w:rFonts w:ascii="Times New Roman" w:hAnsi="Times New Roman"/>
          <w:b w:val="false"/>
          <w:i w:val="false"/>
          <w:color w:val="000000"/>
          <w:sz w:val="24"/>
        </w:rPr>
        <w:t>A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may waive the right to hearing and all attendant rights and enter into a consent order imposing a civil penalty and requiring compliance with Iowa Code chapter </w:t>
      </w:r>
      <w:hyperlink r:id="rId25">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 xml:space="preserve"> at any stage of the proceeding upon mutual consent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905.6(7)</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481—905.7(156)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481—905.7</w:t>
      </w:r>
      <w:r>
        <w:rPr>
          <w:rFonts w:ascii="Times New Roman" w:hAnsi="Times New Roman"/>
          <w:b/>
          <w:i w:val="false"/>
          <w:color w:val="000000"/>
          <w:sz w:val="24"/>
        </w:rPr>
        <w:t xml:space="preserve">(156) </w:t>
      </w:r>
      <w:r>
        <w:rPr>
          <w:rFonts w:ascii="Times New Roman" w:hAnsi="Times New Roman"/>
          <w:b/>
          <w:i w:val="false"/>
          <w:color w:val="000000"/>
          <w:sz w:val="24"/>
        </w:rPr>
        <w:t xml:space="preserve">Factors to consider. </w:t>
      </w:r>
      <w:r>
        <w:rPr>
          <w:rFonts w:ascii="Times New Roman" w:hAnsi="Times New Roman"/>
          <w:b w:val="false"/>
          <w:i w:val="false"/>
          <w:color w:val="000000"/>
          <w:sz w:val="24"/>
        </w:rPr>
        <w:t>The board may consider the following when determining the amount of civil penalty to impose, if any: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 to 12. No change.</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Whether the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acted in bad faith.</w:t>
      </w:r>
    </w:p>
    <w:p>
      <w:pPr>
        <w:spacing w:before="0" w:after="0" w:line="480"/>
        <w:ind w:left="120"/>
        <w:jc w:val="both"/>
      </w:pPr>
      <w:r>
        <w:rPr>
          <w:rFonts w:ascii="Times New Roman" w:hAnsi="Times New Roman"/>
          <w:b w:val="false"/>
          <w:i w:val="false"/>
          <w:color w:val="000000"/>
          <w:sz w:val="24"/>
        </w:rPr>
        <w:t>    14.   </w:t>
      </w:r>
      <w:r>
        <w:rPr>
          <w:rFonts w:ascii="Times New Roman" w:hAnsi="Times New Roman"/>
          <w:b w:val="false"/>
          <w:i w:val="false"/>
          <w:color w:val="000000"/>
          <w:sz w:val="24"/>
        </w:rPr>
        <w:t>Whether the nonlicensee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nonregistrant</w:t>
      </w:r>
      <w:r>
        <w:rPr>
          <w:rFonts w:ascii="Times New Roman" w:hAnsi="Times New Roman"/>
          <w:b w:val="false"/>
          <w:i w:val="false"/>
          <w:color w:val="000000"/>
          <w:sz w:val="24"/>
        </w:rPr>
        <w:t xml:space="preserve"> cooperated with the board.</w:t>
      </w:r>
    </w:p>
    <w:p>
      <w:pPr>
        <w:spacing w:before="0" w:after="0" w:line="240"/>
        <w:ind w:left="120"/>
        <w:jc w:val="both"/>
      </w:pP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chele.christiansen@dia.iowa.gov" Type="http://schemas.openxmlformats.org/officeDocument/2006/relationships/hyperlink" Id="rId4"/>
    <Relationship TargetMode="External" Target="https://www.legis.iowa.gov/docs/ico/chapter/156.4.pdf" Type="http://schemas.openxmlformats.org/officeDocument/2006/relationships/hyperlink" Id="rId5"/>
    <Relationship TargetMode="External" Target="https://www.legis.iowa.gov/docs/ico/chapter/156.14.pdf" Type="http://schemas.openxmlformats.org/officeDocument/2006/relationships/hyperlink" Id="rId6"/>
    <Relationship TargetMode="External" Target="https://www.legis.iowa.gov/docs/iac/rule/481.901.14.pdf" Type="http://schemas.openxmlformats.org/officeDocument/2006/relationships/hyperlink" Id="rId7"/>
    <Relationship TargetMode="External" Target="https://www.legis.iowa.gov/docs/ico/chapter/156.9.pdf" Type="http://schemas.openxmlformats.org/officeDocument/2006/relationships/hyperlink" Id="rId8"/>
    <Relationship TargetMode="External" Target="https://www.legis.iowa.gov/docs/ico/chapter/156.16.pdf" Type="http://schemas.openxmlformats.org/officeDocument/2006/relationships/hyperlink" Id="rId9"/>
    <Relationship TargetMode="External" Target="https://www.legis.iowa.gov/docs/ico/chapter/156.pdf" Type="http://schemas.openxmlformats.org/officeDocument/2006/relationships/hyperlink" Id="rId10"/>
    <Relationship TargetMode="External" Target="https://www.legis.iowa.gov/docs/ico/chapter/156.pdf" Type="http://schemas.openxmlformats.org/officeDocument/2006/relationships/hyperlink" Id="rId11"/>
    <Relationship TargetMode="External" Target="https://www.legis.iowa.gov/docs/ico/chapter/156.pdf" Type="http://schemas.openxmlformats.org/officeDocument/2006/relationships/hyperlink" Id="rId12"/>
    <Relationship TargetMode="External" Target="https://www.legis.iowa.gov/docs/ico/chapter/156.pdf" Type="http://schemas.openxmlformats.org/officeDocument/2006/relationships/hyperlink" Id="rId13"/>
    <Relationship TargetMode="External" Target="https://www.legis.iowa.gov/docs/ico/chapter/156.pdf" Type="http://schemas.openxmlformats.org/officeDocument/2006/relationships/hyperlink" Id="rId14"/>
    <Relationship TargetMode="External" Target="https://www.legis.iowa.gov/docs/ico/chapter/156.pdf" Type="http://schemas.openxmlformats.org/officeDocument/2006/relationships/hyperlink" Id="rId15"/>
    <Relationship TargetMode="External" Target="https://www.legis.iowa.gov/docs/ico/chapter/17A.13.pdf" Type="http://schemas.openxmlformats.org/officeDocument/2006/relationships/hyperlink" Id="rId16"/>
    <Relationship TargetMode="External" Target="https://www.legis.iowa.gov/docs/ico/chapter/156.16.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156.16.pdf" Type="http://schemas.openxmlformats.org/officeDocument/2006/relationships/hyperlink" Id="rId20"/>
    <Relationship TargetMode="External" Target="https://www.legis.iowa.gov/docs/iac/rule/481.503.5.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co/chapter/17A.19.pdf" Type="http://schemas.openxmlformats.org/officeDocument/2006/relationships/hyperlink" Id="rId24"/>
    <Relationship TargetMode="External" Target="https://www.legis.iowa.gov/docs/ico/chapter/156.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